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06C8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194E4145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64EC7801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55FA2AB7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根本原因分析（RCA）成果报告书</w:t>
      </w:r>
    </w:p>
    <w:bookmarkEnd w:id="0"/>
    <w:p w14:paraId="22DF16D1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黑体" w:hAnsi="黑体" w:eastAsia="黑体"/>
          <w:sz w:val="44"/>
          <w:szCs w:val="44"/>
        </w:rPr>
        <w:t>）</w:t>
      </w:r>
    </w:p>
    <w:p w14:paraId="2FA8914A">
      <w:pPr>
        <w:spacing w:line="360" w:lineRule="auto"/>
        <w:ind w:left="2160" w:hanging="2160" w:hangingChars="600"/>
        <w:rPr>
          <w:rFonts w:ascii="仿宋_GB2312" w:eastAsia="仿宋_GB2312"/>
          <w:sz w:val="36"/>
          <w:szCs w:val="36"/>
        </w:rPr>
      </w:pPr>
    </w:p>
    <w:p w14:paraId="527A9353">
      <w:pPr>
        <w:spacing w:line="360" w:lineRule="auto"/>
        <w:ind w:left="1920" w:hanging="1920" w:hangingChars="600"/>
        <w:rPr>
          <w:rFonts w:ascii="方正小标宋简体" w:hAnsi="微软雅黑 Light" w:eastAsia="方正小标宋简体"/>
          <w:sz w:val="32"/>
          <w:szCs w:val="32"/>
        </w:rPr>
      </w:pPr>
    </w:p>
    <w:p w14:paraId="457DB212">
      <w:pPr>
        <w:spacing w:line="360" w:lineRule="auto"/>
        <w:ind w:left="1920" w:hanging="1920" w:hangingChars="600"/>
        <w:rPr>
          <w:rFonts w:ascii="方正小标宋简体" w:hAnsi="微软雅黑 Light" w:eastAsia="方正小标宋简体"/>
          <w:sz w:val="32"/>
          <w:szCs w:val="32"/>
        </w:rPr>
      </w:pPr>
    </w:p>
    <w:p w14:paraId="5D165F35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主题名称：</w:t>
      </w:r>
    </w:p>
    <w:p w14:paraId="1C81815B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来源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□医疗 </w:t>
      </w:r>
      <w:r>
        <w:rPr>
          <w:rFonts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□护理</w:t>
      </w:r>
      <w:r>
        <w:rPr>
          <w:rFonts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□医技</w:t>
      </w:r>
      <w:r>
        <w:rPr>
          <w:rFonts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□行政 </w:t>
      </w:r>
      <w:r>
        <w:rPr>
          <w:rFonts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□后勤 </w:t>
      </w:r>
      <w:r>
        <w:rPr>
          <w:rFonts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□公卫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 w14:paraId="77608F74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所属单位：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3DC6FB93">
      <w:pPr>
        <w:spacing w:line="480" w:lineRule="auto"/>
        <w:ind w:left="0" w:leftChars="0"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单位级别：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□三级综合医院  □二级医院  </w:t>
      </w:r>
    </w:p>
    <w:p w14:paraId="0F5B28DB">
      <w:pPr>
        <w:spacing w:line="480" w:lineRule="auto"/>
        <w:ind w:left="0" w:leftChars="0"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46814EE3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所属科室：</w:t>
      </w:r>
    </w:p>
    <w:p w14:paraId="0F462692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47517B8D">
      <w:pP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  <w:br w:type="page"/>
      </w:r>
    </w:p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7272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</w:sdtEndPr>
      <w:sdtContent>
        <w:p w14:paraId="3763713C">
          <w:pPr>
            <w:spacing w:before="0" w:beforeLines="0" w:after="0" w:afterLines="0" w:line="400" w:lineRule="exact"/>
            <w:ind w:left="0" w:leftChars="0" w:right="0" w:rightChars="0" w:firstLine="0" w:firstLineChars="0"/>
            <w:jc w:val="center"/>
            <w:rPr>
              <w:rFonts w:hint="eastAsia" w:eastAsia="宋体"/>
              <w:sz w:val="24"/>
              <w:szCs w:val="24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/>
              <w:sz w:val="24"/>
              <w:szCs w:val="24"/>
              <w:lang w:val="en-US" w:eastAsia="zh-CN"/>
            </w:rPr>
            <w:t>RCA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）</w:t>
          </w:r>
        </w:p>
        <w:p w14:paraId="201A7DE8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TOC \o "1-2" \h \u </w:instrText>
          </w:r>
          <w:r>
            <w:rPr>
              <w:b w:val="0"/>
              <w:bCs w:val="0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_Toc12542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一、事件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简述与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判定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489FF30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_Toc32294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（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一）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事件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简述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15DFD7F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_Toc18182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（二）异常事件决策树分析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72AF9CC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_Toc11853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（三）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严重度与再发频率识别与分析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CDD9570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_Toc31216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（四）确定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问题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C294131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_Toc32015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二、组织团队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00E9296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_Toc16969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（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一）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团队组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C6BA79C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_Toc17607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（二）上级授权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585D681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_Toc19707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活动计划安排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EE27612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_Toc13000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三、事件调查与问题定义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D82C38A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_Toc15826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（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一）事件调查准备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DC9CA93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_Toc79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（二）事件相关信息收集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及分析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0959E35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_Toc822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确立问题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的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关键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E45F4C5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_Toc31706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四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近端原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因分析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ADB4C51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_Toc11415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（一）分析事件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原因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9E66D07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_Toc11863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（二）及时处置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，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防止事态扩大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FF4EA98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_Toc353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五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、根本原因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分析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CCE6224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_Toc724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（一）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查找与论证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根本原因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66E1C22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_Toc17526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（二）确认根本原因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8743806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_Toc19599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六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、设计与执行改善措施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46DAEB1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_Toc12408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（一）设计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与筛选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改善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措施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2145E82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_Toc9874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（二）执行改善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措施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7806160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_Toc23406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七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、效果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评估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1E0A4A7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_Toc16717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（一）实施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措施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效果评价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9960F84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_Toc25736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（二）防错机制效果评价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7885D93">
          <w:pPr>
            <w:pStyle w:val="6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_Toc5567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八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、检讨与改进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0A77A08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_Toc9487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（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一）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>标准化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B58644A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_Toc29490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（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二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）本期活动的检讨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9667622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_Toc9666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（三）后续改进计划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B83862D">
          <w:pPr>
            <w:pStyle w:val="7"/>
            <w:tabs>
              <w:tab w:val="right" w:leader="dot" w:pos="8868"/>
            </w:tabs>
            <w:spacing w:line="400" w:lineRule="exact"/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_Toc17305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（四）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撰写分析结果报告并学习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98C27CC">
          <w:pPr>
            <w:pStyle w:val="6"/>
            <w:tabs>
              <w:tab w:val="right" w:leader="dot" w:pos="8868"/>
            </w:tabs>
            <w:spacing w:line="400" w:lineRule="exact"/>
            <w:rPr>
              <w:b w:val="0"/>
              <w:bCs w:val="0"/>
            </w:rPr>
          </w:pP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instrText xml:space="preserve"> HYPERLINK \l _Toc25647 </w:instrTex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九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、参考文献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页码</w:t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9E1E149">
          <w:pPr>
            <w:jc w:val="center"/>
            <w:rPr>
              <w:rFonts w:ascii="宋体" w:hAnsi="宋体" w:eastAsia="宋体" w:cstheme="minorBidi"/>
              <w:b w:val="0"/>
              <w:bCs w:val="0"/>
              <w:kern w:val="2"/>
              <w:sz w:val="21"/>
              <w:szCs w:val="22"/>
              <w:lang w:val="en-US" w:eastAsia="zh-CN" w:bidi="ar-SA"/>
            </w:rPr>
          </w:pPr>
          <w:r>
            <w:rPr>
              <w:b w:val="0"/>
              <w:bCs w:val="0"/>
            </w:rPr>
            <w:fldChar w:fldCharType="end"/>
          </w:r>
        </w:p>
      </w:sdtContent>
    </w:sdt>
    <w:p w14:paraId="1A80F8D6">
      <w:pPr>
        <w:jc w:val="center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</w:pPr>
    </w:p>
    <w:p w14:paraId="6F913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6FB4"/>
    <w:rsid w:val="4144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customStyle="1" w:styleId="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7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Kim Wong</dc:creator>
  <cp:lastModifiedBy>Kim Wong</cp:lastModifiedBy>
  <dcterms:modified xsi:type="dcterms:W3CDTF">2026-06-08T07:01:25Z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0B14E089C84A423CA946ACA9DE0F886C_11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